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5"/>
        <w:rPr>
          <w:sz w:val="2"/>
        </w:rPr>
      </w:pPr>
    </w:p>
    <w:p>
      <w:pPr>
        <w:pStyle w:val="Title"/>
        <w:spacing w:before="0"/>
        <w:ind w:left="230"/>
        <w:rPr>
          <w:sz w:val="20"/>
        </w:rPr>
      </w:pPr>
      <w:r>
        <w:rPr>
          <w:sz w:val="20"/>
        </w:rPr>
        <w:drawing>
          <wp:inline distT="0" distB="0" distL="0" distR="0">
            <wp:extent cx="2232687" cy="4530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687" cy="45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12"/>
        </w:rPr>
      </w:pPr>
      <w:r>
        <w:rPr/>
        <w:pict>
          <v:group style="position:absolute;margin-left:50.879997pt;margin-top:10.060093pt;width:735.15pt;height:19.1pt;mso-position-horizontal-relative:page;mso-position-vertical-relative:paragraph;z-index:-251657216;mso-wrap-distance-left:0;mso-wrap-distance-right:0" coordorigin="1018,201" coordsize="14703,382">
            <v:rect style="position:absolute;left:1039;top:213;width:14681;height:358" filled="true" fillcolor="#91cf50" stroked="false">
              <v:fill type="solid"/>
            </v:rect>
            <v:line style="position:absolute" from="1031,201" to="1031,583" stroked="true" strokeweight="1.320002pt" strokecolor="#000000">
              <v:stroke dashstyle="solid"/>
            </v:line>
            <v:rect style="position:absolute;left:1044;top:201;width:14676;height:27" filled="true" fillcolor="#000000" stroked="false">
              <v:fill type="solid"/>
            </v:rect>
            <v:rect style="position:absolute;left:1044;top:556;width:14676;height:27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44;top:227;width:14676;height:329" type="#_x0000_t202" filled="false" stroked="false">
              <v:textbox inset="0,0,0,0">
                <w:txbxContent>
                  <w:p>
                    <w:pPr>
                      <w:spacing w:line="322" w:lineRule="exact" w:before="0"/>
                      <w:ind w:left="5583" w:right="5583" w:firstLine="0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Décompte pour l'exercice 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Title"/>
        <w:rPr>
          <w:sz w:val="11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"/>
        <w:gridCol w:w="1917"/>
        <w:gridCol w:w="3463"/>
        <w:gridCol w:w="921"/>
        <w:gridCol w:w="964"/>
        <w:gridCol w:w="964"/>
        <w:gridCol w:w="6213"/>
      </w:tblGrid>
      <w:tr>
        <w:trPr>
          <w:trHeight w:val="176" w:hRule="atLeast"/>
        </w:trPr>
        <w:tc>
          <w:tcPr>
            <w:tcW w:w="5622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21" w:type="dxa"/>
            <w:shd w:val="clear" w:color="auto" w:fill="B8CCE4"/>
          </w:tcPr>
          <w:p>
            <w:pPr>
              <w:pStyle w:val="TableParagraph"/>
              <w:spacing w:line="156" w:lineRule="exact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Budget 2019</w:t>
            </w:r>
          </w:p>
        </w:tc>
        <w:tc>
          <w:tcPr>
            <w:tcW w:w="964" w:type="dxa"/>
            <w:shd w:val="clear" w:color="auto" w:fill="B8CCE4"/>
          </w:tcPr>
          <w:p>
            <w:pPr>
              <w:pStyle w:val="TableParagraph"/>
              <w:spacing w:line="156" w:lineRule="exact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Compte 2019</w:t>
            </w:r>
          </w:p>
        </w:tc>
        <w:tc>
          <w:tcPr>
            <w:tcW w:w="964" w:type="dxa"/>
            <w:shd w:val="clear" w:color="auto" w:fill="B8CCE4"/>
          </w:tcPr>
          <w:p>
            <w:pPr>
              <w:pStyle w:val="TableParagraph"/>
              <w:spacing w:line="156" w:lineRule="exact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>Différence</w:t>
            </w:r>
          </w:p>
        </w:tc>
        <w:tc>
          <w:tcPr>
            <w:tcW w:w="6213" w:type="dxa"/>
            <w:shd w:val="clear" w:color="auto" w:fill="B8CCE4"/>
          </w:tcPr>
          <w:p>
            <w:pPr>
              <w:pStyle w:val="TableParagraph"/>
              <w:spacing w:line="156" w:lineRule="exact"/>
              <w:ind w:left="2773" w:right="27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Remarque</w:t>
            </w:r>
          </w:p>
        </w:tc>
      </w:tr>
      <w:tr>
        <w:trPr>
          <w:trHeight w:val="174" w:hRule="atLeast"/>
        </w:trPr>
        <w:tc>
          <w:tcPr>
            <w:tcW w:w="5622" w:type="dxa"/>
            <w:gridSpan w:val="3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54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Recettes</w:t>
            </w:r>
          </w:p>
        </w:tc>
        <w:tc>
          <w:tcPr>
            <w:tcW w:w="921" w:type="dxa"/>
            <w:tcBorders>
              <w:bottom w:val="single" w:sz="6" w:space="0" w:color="000000"/>
            </w:tcBorders>
            <w:shd w:val="clear" w:color="auto" w:fill="91CF50"/>
          </w:tcPr>
          <w:p>
            <w:pPr>
              <w:pStyle w:val="TableParagraph"/>
              <w:spacing w:line="154" w:lineRule="exact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50.185,80</w:t>
            </w:r>
          </w:p>
        </w:tc>
        <w:tc>
          <w:tcPr>
            <w:tcW w:w="964" w:type="dxa"/>
            <w:tcBorders>
              <w:bottom w:val="single" w:sz="6" w:space="0" w:color="000000"/>
            </w:tcBorders>
            <w:shd w:val="clear" w:color="auto" w:fill="91CF50"/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50.185,80</w:t>
            </w:r>
          </w:p>
        </w:tc>
        <w:tc>
          <w:tcPr>
            <w:tcW w:w="964" w:type="dxa"/>
            <w:tcBorders>
              <w:bottom w:val="single" w:sz="6" w:space="0" w:color="000000"/>
            </w:tcBorders>
            <w:shd w:val="clear" w:color="auto" w:fill="91CF50"/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  <w:tc>
          <w:tcPr>
            <w:tcW w:w="6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left="34"/>
              <w:rPr>
                <w:sz w:val="15"/>
              </w:rPr>
            </w:pPr>
            <w:r>
              <w:rPr>
                <w:sz w:val="15"/>
              </w:rPr>
              <w:t>Cotisations - Membres ALOSS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2"/>
              <w:jc w:val="right"/>
              <w:rPr>
                <w:sz w:val="15"/>
              </w:rPr>
            </w:pPr>
            <w:r>
              <w:rPr>
                <w:sz w:val="15"/>
              </w:rPr>
              <w:t>50.185,80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50.185,80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Divers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Intérêts créditeurs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4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64" w:lineRule="exact"/>
              <w:ind w:left="34"/>
              <w:rPr>
                <w:sz w:val="15"/>
              </w:rPr>
            </w:pPr>
            <w:r>
              <w:rPr>
                <w:sz w:val="15"/>
              </w:rPr>
              <w:t>Prélèvement sur provisions</w:t>
            </w:r>
          </w:p>
        </w:tc>
        <w:tc>
          <w:tcPr>
            <w:tcW w:w="9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5622" w:type="dxa"/>
            <w:gridSpan w:val="3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54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Dépenses</w:t>
            </w:r>
          </w:p>
        </w:tc>
        <w:tc>
          <w:tcPr>
            <w:tcW w:w="921" w:type="dxa"/>
            <w:tcBorders>
              <w:bottom w:val="single" w:sz="6" w:space="0" w:color="000000"/>
            </w:tcBorders>
            <w:shd w:val="clear" w:color="auto" w:fill="91CF50"/>
          </w:tcPr>
          <w:p>
            <w:pPr>
              <w:pStyle w:val="TableParagraph"/>
              <w:spacing w:line="154" w:lineRule="exact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67.875,00</w:t>
            </w:r>
          </w:p>
        </w:tc>
        <w:tc>
          <w:tcPr>
            <w:tcW w:w="964" w:type="dxa"/>
            <w:tcBorders>
              <w:bottom w:val="single" w:sz="6" w:space="0" w:color="000000"/>
            </w:tcBorders>
            <w:shd w:val="clear" w:color="auto" w:fill="91CF50"/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80.217,52</w:t>
            </w:r>
          </w:p>
        </w:tc>
        <w:tc>
          <w:tcPr>
            <w:tcW w:w="964" w:type="dxa"/>
            <w:tcBorders>
              <w:bottom w:val="single" w:sz="6" w:space="0" w:color="000000"/>
            </w:tcBorders>
            <w:shd w:val="clear" w:color="auto" w:fill="91CF50"/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12.342,52</w:t>
            </w:r>
          </w:p>
        </w:tc>
        <w:tc>
          <w:tcPr>
            <w:tcW w:w="6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5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Cotisations à verser aux institutions internationales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23.200,00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21.581,63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-1.618,37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a)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Association internationale de la Sécurité Sociale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15.000,00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13.381,63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-1.618,37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Cours de change</w:t>
            </w: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b)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European Institute of Social Security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c)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European Social Insurance Platform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7.800,00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7.800,00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Publication du bulletin luxembourgeois des questions sociales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10.000,00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3.654,44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-6.345,56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a)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Frais d'impression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7.000,00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3.654,44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-3.345,56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BLQS - volume 34</w:t>
            </w: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b)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Frais d'élaboration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-1.000,00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c)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Honoraires à verser aux auteurs externes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-2.000,00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d)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Annonces journaux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</w:p>
        </w:tc>
        <w:tc>
          <w:tcPr>
            <w:tcW w:w="5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Frais d'études, d'analyses et d'enquêtes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Frais de fonctionnement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7.175,00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16.282,49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9.107,49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a)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Fournitures, timbres et autres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-100,00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b)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Frais de participation à conférences/colloques etc.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3.980,00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3.730,00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Formation internationale - Lignes directrices AISS de bonne gouvernance (2 participants)</w:t>
            </w:r>
          </w:p>
        </w:tc>
      </w:tr>
      <w:tr>
        <w:trPr>
          <w:trHeight w:val="577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rPr>
                <w:sz w:val="15"/>
              </w:rPr>
            </w:pPr>
            <w:r>
              <w:rPr>
                <w:sz w:val="15"/>
              </w:rPr>
              <w:t>c)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/>
              <w:rPr>
                <w:sz w:val="15"/>
              </w:rPr>
            </w:pPr>
            <w:r>
              <w:rPr>
                <w:sz w:val="15"/>
              </w:rPr>
              <w:t>Frais de route et de séjour : Participation aux réunions</w:t>
            </w:r>
          </w:p>
          <w:p>
            <w:pPr>
              <w:pStyle w:val="TableParagraph"/>
              <w:spacing w:line="190" w:lineRule="atLeast" w:before="7"/>
              <w:ind w:left="34" w:right="392"/>
              <w:rPr>
                <w:sz w:val="15"/>
              </w:rPr>
            </w:pPr>
            <w:r>
              <w:rPr>
                <w:sz w:val="15"/>
              </w:rPr>
              <w:t>avec les organismes internationaux dans lesquels l'ALOSS est membre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0" w:lineRule="auto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0" w:lineRule="auto"/>
              <w:jc w:val="right"/>
              <w:rPr>
                <w:sz w:val="15"/>
              </w:rPr>
            </w:pPr>
            <w:r>
              <w:rPr>
                <w:sz w:val="15"/>
              </w:rPr>
              <w:t>12.207,94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0" w:lineRule="auto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7.207,94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00"/>
              <w:ind w:left="29"/>
              <w:rPr>
                <w:sz w:val="15"/>
              </w:rPr>
            </w:pPr>
            <w:r>
              <w:rPr>
                <w:sz w:val="15"/>
              </w:rPr>
              <w:t>Forum mondial de la sécurité sociale - AISS - Bruxelles en octobre 2019 (8 participants) + autres manifestations</w:t>
            </w: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d)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Frais d'experts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-500,00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e)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Frais bancaires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75,00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94,55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19,55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f)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Frais d'enregistrement RCSL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-250,00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g)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Divers</w:t>
            </w: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-1.000,00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2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5.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Séminaire / Conférence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25.000,00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38.698,96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13.698,96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sz w:val="15"/>
              </w:rPr>
              <w:t>Séance académique anniversaire statut unique (22/11/2019)</w:t>
            </w:r>
          </w:p>
        </w:tc>
      </w:tr>
      <w:tr>
        <w:trPr>
          <w:trHeight w:val="181" w:hRule="atLeast"/>
        </w:trPr>
        <w:tc>
          <w:tcPr>
            <w:tcW w:w="2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6.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Charges exceptionnelles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2.500,00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-2.500,00</w:t>
            </w:r>
          </w:p>
        </w:tc>
        <w:tc>
          <w:tcPr>
            <w:tcW w:w="6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24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7.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Dotations aux provisions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top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  <w:tc>
          <w:tcPr>
            <w:tcW w:w="6213" w:type="dxa"/>
            <w:tcBorders>
              <w:top w:val="single" w:sz="6" w:space="0" w:color="000000"/>
            </w:tcBorders>
            <w:shd w:val="clear" w:color="auto" w:fill="B8CCE4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14684" w:type="dxa"/>
            <w:gridSpan w:val="7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5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Résultat de l'exercice 2019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-17.689,20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-30.031,72</w:t>
            </w:r>
          </w:p>
        </w:tc>
        <w:tc>
          <w:tcPr>
            <w:tcW w:w="717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4684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Réserve au 1.1 de l'exercice considéré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182.363,99</w:t>
            </w:r>
          </w:p>
        </w:tc>
        <w:tc>
          <w:tcPr>
            <w:tcW w:w="717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4684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Prélèvement à la réserve (-) / dotation à la réserve (+)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-30.031,72</w:t>
            </w:r>
          </w:p>
        </w:tc>
        <w:tc>
          <w:tcPr>
            <w:tcW w:w="717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4684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Résultat cumulé 2019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>
            <w:pPr>
              <w:pStyle w:val="TableParagraph"/>
              <w:ind w:right="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152.332,27</w:t>
            </w:r>
          </w:p>
        </w:tc>
        <w:tc>
          <w:tcPr>
            <w:tcW w:w="717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6840" w:h="11910" w:orient="landscape"/>
      <w:pgMar w:top="1100" w:bottom="280" w:left="9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fr-FR" w:bidi="fr-FR"/>
    </w:rPr>
  </w:style>
  <w:style w:styleId="Title" w:type="paragraph">
    <w:name w:val="Title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2020-06-29T08:11:40Z</dcterms:created>
  <dcterms:modified xsi:type="dcterms:W3CDTF">2020-06-29T08:11:40Z</dcterms:modified>
</cp:coreProperties>
</file>