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84" w:type="dxa"/>
        <w:tblLook w:val="04A0" w:firstRow="1" w:lastRow="0" w:firstColumn="1" w:lastColumn="0" w:noHBand="0" w:noVBand="1"/>
        <w:tblCaption w:val="Relevé thématique du contenu des Bulletins luxembourgeois des questions sociales"/>
      </w:tblPr>
      <w:tblGrid>
        <w:gridCol w:w="2265"/>
        <w:gridCol w:w="4676"/>
        <w:gridCol w:w="851"/>
        <w:gridCol w:w="992"/>
      </w:tblGrid>
      <w:tr w:rsidR="00A52E7D" w:rsidTr="005E0DBB">
        <w:trPr>
          <w:tblHeader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Thème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Libellé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Volume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Année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droits sociaux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Conseil de l’Europe - Déclaration de Malte sur l’accès aux droits sociaux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Free Movement of Services: Recent Developments in Cross-Border Access to Healthcare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Accès aux soins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Accès aux soins de santé dans un marché unique: impact sur les systèmes légaux et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Ajustement des rentes et pensions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A52E7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A52E7D" w:rsidTr="008E70E2">
        <w:tc>
          <w:tcPr>
            <w:tcW w:w="2265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1B7FA7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Editorial 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 w:rsidP="00EA013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 w:rsidP="00EA013A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aloss asbl</w:t>
            </w:r>
            <w:r w:rsidRPr="00EA013A">
              <w:rPr>
                <w:rFonts w:cstheme="minorHAnsi"/>
                <w:sz w:val="18"/>
                <w:szCs w:val="18"/>
              </w:rPr>
              <w:tab/>
              <w:t>Discours à l'occasion du 50ième anniversaire de aloss asbl_Table ronde “le futur de la protection sociale dans un monde qui change” - 10 novembre 2017 (Norbert LINDENLAUB, aloss)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 w:rsidRPr="00EA013A"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bookmarkStart w:id="0" w:name="_GoBack" w:colFirst="2" w:colLast="2"/>
            <w:r>
              <w:rPr>
                <w:rFonts w:cstheme="minorHAnsi"/>
                <w:sz w:val="18"/>
                <w:szCs w:val="18"/>
              </w:rPr>
              <w:t>aloss asbl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Présentation de l’aloss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bookmarkEnd w:id="0"/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 rapprochement de la réparation forfaitaire en matière d’assurance accident avec la réparation intégrale en droit commun est-il souhaitable dans le cadre d’une réforme de l’assurance accident? (Pascale SPELTZ)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maladies professionnelles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accident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L’accident du travail (Claude RUME)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A52E7D" w:rsidTr="008E70E2">
        <w:tc>
          <w:tcPr>
            <w:tcW w:w="2265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Analyse de l’évolution des dépenses et des recettes de l’assurance dépendance entre 2007 et 2017 et aperçu de la situation financière 2018 à 2024 (Cris SANTOS NEVES)</w:t>
            </w:r>
          </w:p>
        </w:tc>
        <w:tc>
          <w:tcPr>
            <w:tcW w:w="851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L'assurance dépendance à l'aube de la réforme - Recadrage ciblé pour l'avenir sur base de l'analyse circonstanciée du passé (Laurent FALCHERO)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Gestion électronique du guidage des agents de la Cellule d’évaluation et d’orientation dans le processus « Evaluation et détermination » des prestations de l’assurance dépendance (Bernard HEINESCH)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prise en charge par l’assurance dépendance des cotisations pour l’assurance pension de l’aidant de la personne dépendante résidant à domicile - Analyse et regard critique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(Norbert Lindenlaub)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difficile reconnaissance de l’aidant dans l’assurance dépendance luxembourgeoise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les domaines de l’hygiène et de l’élimination (Stéphane KLOP)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aides techniques en relation avec un besoin d’aide dans le domaine du déplacement (Katja TURINETTI)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Journée nationale de l'assurance dépendance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Conference organised by the Luxembourg Presidency with the Social Protection Committee of the European Union - Long-term care for older persons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2005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droits individuels de la personne protégée dans le cadre de l’application de la législation relative à l’assurance dépendance (Nadine BASTIAN)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Assurance dépendance (Andrée KERGER, 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 (Andrée KERGER, Catherine THOMÉ)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(Jean-Marie FEIDER, Georges SCHROEDER, Paul HANSEN, Catherine THOMÉ, Andrée KERGER, Raymond WAGENER, 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Conclusions de l’avocat général M. Georges Cosmas (affaire C-160/96 Molenaar)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dépendance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L’assurance dépendance (Denise SEYWERT, Paul CAPESIUS)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145BD0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Übergang vom Berufsleben in den Ruhestand - Ein kritisches Lebensereignis? (Ylenia FELTGEN)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145BD0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Evolution des dépenses et des recettes de l'assurance maladie-maternité entre 2011 et 2018</w:t>
            </w:r>
          </w:p>
          <w:p w:rsidR="00A52E7D" w:rsidRPr="00F557DD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145BD0">
              <w:rPr>
                <w:rFonts w:cstheme="minorHAnsi"/>
                <w:sz w:val="18"/>
                <w:szCs w:val="18"/>
              </w:rPr>
              <w:t>(Laura PALADINO)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l'assurance-maladie à l'assurance santé au Grand-Duché de Luxembourg: pourquoi la création d'une Caisse nationale de santé? (Amélie BECKER)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L'application des dispositions concernant l'assurance-maladie du nouveau règlement 883/2004 (et du nouveau règlement d'application) en matière de coordination des régimes de sécurité sociale 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(Romain SCHAUL)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Evolution des recettes et des dépenses de l'assurance maladie entre 1998 et 2008 et perspectives pour l'avenir (Vanessa DI BARTOLOMEO)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Les litiges opposant les prestataires individuels de soins de santé aux organismes d’assurance maladie et à leurs assurés (Mike WALCH)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Analyse de l’évolution des indemnités pécuniaires de maladie de la gestion art. 29, 1, c)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Réflexions sur la nature des prestations hospitalières au Luxembourg et sur la justification de l'autorisation préalable pour les transferts à l'étranger (Robert KIEFFER)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Conclusions de l’avocat général M. Giuseppe Tesauro (Affaire C-120/95 Decker et affaire C-158/96 Kohll)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maladie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La médecine préventive au Luxembourg (Jean-Marie FEIDER)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1B7FA7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Coordination du Régime général et des Régimes spéciaux - Interactions entre les différents organismes impliqués et répercussions sur les périodes d'assurance et les prestations de pension (Pascale FOLZ)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1B7FA7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2D7C10">
              <w:rPr>
                <w:rFonts w:cstheme="minorHAnsi"/>
                <w:sz w:val="18"/>
                <w:szCs w:val="18"/>
              </w:rPr>
              <w:t>Projektmanagement im Alltag einer Verwaltung; von der konkreten Erfahrung der CNAP zur allgemeinen Betrachtung (Sebastian FONTAINE)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145BD0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Le rôle du pharmacien d'officine ouverte au public – De la prise en charge des patients au garde-fou des dépenses sociales (Annemarie KOHN)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Séminaire dans le cadre des travaux de la Commission administrative de la sécurité sociale des travailleurs migrants - La reconnaissance des périodes d’éducation d’enfants dans un autre pays de l’Union européenne.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17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Tables anticumul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détermination des pensions intervenant dans le calcul du recours des caisses de pensions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Concours de la pension de survie avec d’autres revenus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Calcul des recours des caisses de pension contre tiers responsables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Assurance pension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pensions minima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Cadre méthodologique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Développement d’un cadre méthodologique commun pour les institutions de sécurité sociale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centenaire des assurances sociales au Grand-Duché de Luxembourg (1901-2001)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Centenaire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Chômage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 l’assurance chômage à l’assurance employabilité - Evolution des droits et des obligations de la personne (Nicole KERSCHEN)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Contrôle tutélaire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 contrôle tutélaire de l'Etat sur les organismes de sécurité sociale (Catherine THOM</w:t>
            </w:r>
            <w:r>
              <w:rPr>
                <w:rFonts w:cstheme="minorHAnsi"/>
                <w:sz w:val="18"/>
                <w:szCs w:val="18"/>
              </w:rPr>
              <w:t>É</w:t>
            </w:r>
            <w:r>
              <w:rPr>
                <w:rFonts w:cstheme="minorHAnsi"/>
                <w:sz w:val="18"/>
                <w:szCs w:val="18"/>
                <w:lang w:val="fr-L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Principales mesures de politique sociale intervenues entre le 1er août 2005 et le 31 juillet 2007 </w:t>
            </w:r>
            <w:r>
              <w:rPr>
                <w:rFonts w:cstheme="minorHAnsi"/>
                <w:sz w:val="18"/>
                <w:szCs w:val="18"/>
                <w:lang w:val="fr-LU"/>
              </w:rPr>
              <w:t>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Jurisprudence, Table des matières et table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Principales mesures législatives et réglementaires intervenues entre le 1er août et le 31 juillet 2004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analytique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Résumé des principales mesures législatives et réglementaires intervenues depuis la dernière parution du BLQS (01.05.2000 - 31.01.2001 )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 - Relevé analytique 1995 à 1998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Résumé des principales mesures législatives et réglementaires intervenues depuis la dernière parution du BLQS (Claude EWEN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Jurisprudence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Divers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Législation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Drogues et toxicomanie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F557DD" w:rsidRDefault="00A52E7D" w:rsidP="00F557DD">
            <w:pPr>
              <w:rPr>
                <w:rFonts w:cstheme="minorHAnsi"/>
                <w:sz w:val="18"/>
                <w:szCs w:val="18"/>
              </w:rPr>
            </w:pPr>
            <w:r w:rsidRPr="00F557DD">
              <w:rPr>
                <w:rFonts w:cstheme="minorHAnsi"/>
                <w:sz w:val="18"/>
                <w:szCs w:val="18"/>
              </w:rPr>
              <w:t>Akzeptanzorientierte Drogenarbeit im Wandel des Konsumverhaltens</w:t>
            </w:r>
            <w:r>
              <w:rPr>
                <w:rFonts w:cstheme="minorHAnsi"/>
                <w:sz w:val="18"/>
                <w:szCs w:val="18"/>
              </w:rPr>
              <w:t xml:space="preserve"> - </w:t>
            </w:r>
            <w:r w:rsidRPr="00F557DD">
              <w:rPr>
                <w:rFonts w:cstheme="minorHAnsi"/>
                <w:sz w:val="18"/>
                <w:szCs w:val="18"/>
              </w:rPr>
              <w:t xml:space="preserve">Eine Analyse am Beispiel des </w:t>
            </w:r>
          </w:p>
          <w:p w:rsidR="00A52E7D" w:rsidRDefault="00A52E7D" w:rsidP="00F557DD">
            <w:pPr>
              <w:rPr>
                <w:rFonts w:cstheme="minorHAnsi"/>
                <w:sz w:val="18"/>
                <w:szCs w:val="18"/>
              </w:rPr>
            </w:pPr>
            <w:r w:rsidRPr="00F557DD">
              <w:rPr>
                <w:rFonts w:cstheme="minorHAnsi"/>
                <w:sz w:val="18"/>
                <w:szCs w:val="18"/>
              </w:rPr>
              <w:t xml:space="preserve">Konsumraumes „Abrigado“ in Luxemburg </w:t>
            </w:r>
            <w:r>
              <w:rPr>
                <w:rFonts w:cstheme="minorHAnsi"/>
                <w:sz w:val="18"/>
                <w:szCs w:val="18"/>
              </w:rPr>
              <w:t>(</w:t>
            </w:r>
            <w:r w:rsidRPr="00F557DD">
              <w:rPr>
                <w:rFonts w:cstheme="minorHAnsi"/>
                <w:sz w:val="18"/>
                <w:szCs w:val="18"/>
              </w:rPr>
              <w:t xml:space="preserve">Raoul </w:t>
            </w:r>
            <w:r>
              <w:rPr>
                <w:rFonts w:cstheme="minorHAnsi"/>
                <w:sz w:val="18"/>
                <w:szCs w:val="18"/>
              </w:rPr>
              <w:t>SCHAAF)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2019</w:t>
            </w:r>
          </w:p>
        </w:tc>
      </w:tr>
      <w:tr w:rsidR="00A52E7D" w:rsidTr="00A52E7D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Femmes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Gewalt gegen Frauen - Ein Überblick über die Situation in Luxemburg (Deborah BUCHHOLTZ)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Organisation und Finanzierungsmodelle in der luxemburgischen Sozialarbeit (Paul SCHMIT)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ESIP - Le financement de la sécurité sociale - une perspective européenne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Financement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internationale - Les formes alternatives de financement de la sécurité sociale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Fraude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Annual conference of the European Institute of Social Security on "social security and fraud"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2013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International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Sécurité sociale - Leçons de l’expérience de la négociation de conventions bilatérales ou des règlements de coordination de l’Union européenne (Claude EWEN)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Korporatistisches Wohlfahrtsregime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Luxemburgs korporatistisches Wohlfahrtsregime mit universalistischen Strukturen (Claudia HARTMANN-HIRSCH)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futur de la protection sociale dans un monde qui change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nouvelles technologies et les situations d’emploi « très atypiques » : quelques problèmes pour l'application du droit social (Professeur Yves JORENS, Université de Gand)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Mutualité des employeurs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Mutualité des employeurs (Pierre BLEY)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Nursing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World congress on future nursing systems - new approaches - new evidence for 2020 - 12th IOS World Congress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2012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Commémoration du dixième anniversaire de la loi sur les régimes complémentaires de pension (Jean-Paul WICTOR)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Séminaire sur les Pensions Complémentaires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 xml:space="preserve">Pensions complémentaires - </w:t>
            </w:r>
            <w:r>
              <w:rPr>
                <w:rFonts w:cstheme="minorHAnsi"/>
                <w:sz w:val="18"/>
                <w:szCs w:val="18"/>
                <w:lang w:val="fr-LU"/>
              </w:rPr>
              <w:t>Origine et élaboration de la loi du 8 juin 1999 relative aux régimes complémentaires de pension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Présentation de la loi du 8 juin 1999 relative aux régimes complémentaires de pension</w:t>
            </w:r>
            <w:r>
              <w:rPr>
                <w:rFonts w:cstheme="minorHAnsi"/>
                <w:sz w:val="18"/>
                <w:szCs w:val="18"/>
                <w:lang w:val="fr-LU"/>
              </w:rPr>
              <w:br/>
            </w:r>
            <w:r>
              <w:rPr>
                <w:rFonts w:cstheme="minorHAnsi"/>
                <w:sz w:val="18"/>
                <w:szCs w:val="18"/>
              </w:rPr>
              <w:t>- L'Application de la loi du 8 juin 1999 relative aux régimes complémentaires de pension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Pensions complémentaires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Les régimes de pensions complémentaires (Martine DEPREZ)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organisée par le Conseil National des Femmes avec le soutien du Fonds National de la Recherche – Quelle politique sociale pour le Luxembourg en Europe ?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Politique sociale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Conference - Modernising and improving social protection in Europe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Préjudice de droit commun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Le préjudice de droit commun et sa réparation </w:t>
            </w:r>
            <w:r>
              <w:rPr>
                <w:rFonts w:cstheme="minorHAnsi"/>
                <w:sz w:val="18"/>
                <w:szCs w:val="18"/>
                <w:lang w:val="fr-LU"/>
              </w:rPr>
              <w:t>(Georges RAVARANI)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22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Anwendung der Verordnung 1408/71 im Bereich der Familienleistungen (Dokument zum Twinning Projekt Luxemburg- Bulgarien) (Claude EWEN,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Relevé de la jurisprudence 2001- Contentieux: Jugement de la Cour de Justice européenne dans l’affaire C-43/99 (Leclere-Deaconescu) et conclusions de l’avocat général Monsieur F. G. Jacobs / CMEP contre Kamitaki / UCM contre Dr S.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2002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L’allocation d’éducation (Michel NEYENS, Claude NICOLAS)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Prestations familiales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Vers une politique familiale européenne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1-2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1996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Procédure non contentieuse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procédure non contentieuse en matière de sécurité sociale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protection des membres de famille par le droit social (Pierre MORES)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Protection des membres de famille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La sécurité sociale et le divorce au Grand-Duché de Luxembourg (Carlo DURBACH)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</w:rPr>
              <w:t>5-6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1998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Recherche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Conférence internationale d'analyse et de recherche en sécurité sociale 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28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2010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Réinsertion professionnelle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Application de la loi du 25 juillet 2002 concernant l’incapacité de travail et la réinsertion professionnelle (Toinie WOLTER)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2003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Représentation des personnes physiques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représentation des personnes physiques dans le droit social appliqué par l'Union des Caisses de Maladie (Gisèle HUBSCH)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RMG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 revenu minimum garanti (André MANDERSCHEID, Claude VANDIVINIT)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1997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Statut unique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Mise en oeuvre par le Centre commun de la sécurité sociale du statut unique pour les salariés du secteur privé (Alain REUTER)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2009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Surendettement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La nouvelle loi sur le surendettement (Michel NEYENS)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145BD0" w:rsidRDefault="00A52E7D" w:rsidP="00145BD0">
            <w:pPr>
              <w:rPr>
                <w:rFonts w:cstheme="minorHAnsi"/>
                <w:sz w:val="18"/>
                <w:szCs w:val="18"/>
              </w:rPr>
            </w:pPr>
            <w:r w:rsidRPr="001B7FA7">
              <w:rPr>
                <w:rFonts w:cstheme="minorHAnsi"/>
                <w:sz w:val="18"/>
                <w:szCs w:val="18"/>
              </w:rPr>
              <w:t>Grand Duchy of Luxembourg: a case study of a national Master Patient Index in production since five years : (Raffaella VACCAROLI, PhD - Frédéric MARKUS - Samuel DANHARDT - Heiko ZIMMERMANN - Francois WISNIEWSKI - Pascale LUCAS - Hervé BARGE)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2020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Conférence - L'Introduction de la gestion électronique de documents dans l'administration : Une décision stratégique complexe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  <w:lang w:val="fr-LU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2004</w:t>
            </w:r>
          </w:p>
        </w:tc>
      </w:tr>
      <w:tr w:rsidR="00A52E7D" w:rsidTr="005E0DBB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Les nouvelles technologies de communication et leur intérêt pour le CCSS-I (Jacques KIRSCH)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  <w:lang w:val="fr-L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E7D" w:rsidRDefault="00A52E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2001</w:t>
            </w:r>
          </w:p>
        </w:tc>
      </w:tr>
      <w:tr w:rsidR="00A52E7D" w:rsidTr="00E01B31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2D7C10" w:rsidRDefault="00A52E7D" w:rsidP="00E01B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Technologies</w:t>
            </w:r>
          </w:p>
        </w:tc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Pr="002D7C10" w:rsidRDefault="00A52E7D" w:rsidP="00E01B31">
            <w:pPr>
              <w:rPr>
                <w:rFonts w:cstheme="minorHAnsi"/>
                <w:sz w:val="18"/>
                <w:szCs w:val="18"/>
              </w:rPr>
            </w:pPr>
            <w:r w:rsidRPr="00527996">
              <w:rPr>
                <w:rFonts w:cstheme="minorHAnsi"/>
                <w:sz w:val="18"/>
                <w:szCs w:val="18"/>
              </w:rPr>
              <w:t>Une intelligence artificielle de confiance au service du système de santé - Une analyse de certains prérequis nécessaires à une intelligence artificielle centrée sur les patients et les professionnels de santé (Linda SCHUMACHER)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 w:rsidP="00E01B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E7D" w:rsidRDefault="00A52E7D" w:rsidP="00E01B3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2021</w:t>
            </w:r>
          </w:p>
        </w:tc>
      </w:tr>
    </w:tbl>
    <w:p w:rsidR="005E0DBB" w:rsidRDefault="005E0DBB" w:rsidP="005E0DBB">
      <w:pPr>
        <w:rPr>
          <w:rFonts w:cstheme="minorHAnsi"/>
          <w:sz w:val="18"/>
          <w:szCs w:val="18"/>
        </w:rPr>
      </w:pPr>
    </w:p>
    <w:p w:rsidR="008400BC" w:rsidRPr="005E0DBB" w:rsidRDefault="008400BC" w:rsidP="005E0DBB"/>
    <w:sectPr w:rsidR="008400BC" w:rsidRPr="005E0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AE"/>
    <w:rsid w:val="000013AE"/>
    <w:rsid w:val="00014A2D"/>
    <w:rsid w:val="000E733D"/>
    <w:rsid w:val="00113572"/>
    <w:rsid w:val="00145BD0"/>
    <w:rsid w:val="00194FE0"/>
    <w:rsid w:val="001B7FA7"/>
    <w:rsid w:val="00247293"/>
    <w:rsid w:val="0027286A"/>
    <w:rsid w:val="002D7C10"/>
    <w:rsid w:val="002F2FB9"/>
    <w:rsid w:val="0030643A"/>
    <w:rsid w:val="0034700B"/>
    <w:rsid w:val="003E5461"/>
    <w:rsid w:val="00497986"/>
    <w:rsid w:val="004E6C85"/>
    <w:rsid w:val="005E0DBB"/>
    <w:rsid w:val="006D53D7"/>
    <w:rsid w:val="007201CC"/>
    <w:rsid w:val="00751A3B"/>
    <w:rsid w:val="007F3368"/>
    <w:rsid w:val="00814B87"/>
    <w:rsid w:val="00836310"/>
    <w:rsid w:val="008400BC"/>
    <w:rsid w:val="008E70E2"/>
    <w:rsid w:val="008F6465"/>
    <w:rsid w:val="009065A8"/>
    <w:rsid w:val="0093743C"/>
    <w:rsid w:val="00A52E7D"/>
    <w:rsid w:val="00B32DEE"/>
    <w:rsid w:val="00B32F4C"/>
    <w:rsid w:val="00BA6372"/>
    <w:rsid w:val="00BC1E74"/>
    <w:rsid w:val="00BC48F7"/>
    <w:rsid w:val="00BE7282"/>
    <w:rsid w:val="00C2371F"/>
    <w:rsid w:val="00C73ED6"/>
    <w:rsid w:val="00C74D5C"/>
    <w:rsid w:val="00D02246"/>
    <w:rsid w:val="00D57301"/>
    <w:rsid w:val="00DE43E0"/>
    <w:rsid w:val="00EA013A"/>
    <w:rsid w:val="00F4000C"/>
    <w:rsid w:val="00F557DD"/>
    <w:rsid w:val="00F5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306E1-2ADB-41B6-828C-412E240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AE"/>
    <w:rPr>
      <w:noProof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1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65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5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fr-LU" w:eastAsia="fr-L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0E15C-6BCF-41E5-9BA5-DDA6813C0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1995</Words>
  <Characters>10976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Commun de la Sécurité Sociale</Company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u076nl / Lindenlaub Norbert</dc:creator>
  <cp:keywords/>
  <dc:description/>
  <cp:lastModifiedBy>u076nl / Lindenlaub Norbert</cp:lastModifiedBy>
  <cp:revision>3</cp:revision>
  <dcterms:created xsi:type="dcterms:W3CDTF">2022-04-06T14:31:00Z</dcterms:created>
  <dcterms:modified xsi:type="dcterms:W3CDTF">2022-04-06T14:36:00Z</dcterms:modified>
</cp:coreProperties>
</file>