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5E0DBB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29137C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29137C" w:rsidRPr="0029137C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485251" w:rsidRDefault="00124A3D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  <w:bookmarkStart w:id="0" w:name="_GoBack"/>
            <w:bookmarkEnd w:id="0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485251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C" w:rsidRPr="0029137C" w:rsidRDefault="0029137C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85251" w:rsidRPr="00485251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485251" w:rsidRDefault="00485251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85251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2D7C10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Pr="002D7C10" w:rsidRDefault="00485251" w:rsidP="00145BD0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51" w:rsidRDefault="004852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527996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Pr="002D7C10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Pr="002D7C10" w:rsidRDefault="00527996" w:rsidP="00145BD0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96" w:rsidRDefault="005279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2D7C1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Pr="001B7FA7" w:rsidRDefault="002D7C10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0" w:rsidRDefault="002D7C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 w:rsidP="0029137C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 xml:space="preserve">Assurance </w:t>
            </w:r>
            <w:r w:rsidR="0029137C"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Übergang vom Berufsleben in den Ruhestand - Ein kritisches Lebensereignis? 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B7FA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Pr="00145BD0" w:rsidRDefault="001B7FA7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A7" w:rsidRDefault="001B7FA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145BD0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Pr="00145BD0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:rsidR="00145BD0" w:rsidRPr="00F557DD" w:rsidRDefault="00145BD0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F557D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Pr="00F557DD" w:rsidRDefault="00F557DD" w:rsidP="00F557DD">
            <w:pPr>
              <w:rPr>
                <w:rFonts w:cstheme="minorHAnsi"/>
                <w:sz w:val="18"/>
                <w:szCs w:val="18"/>
              </w:rPr>
            </w:pPr>
            <w:r w:rsidRPr="00F557DD">
              <w:rPr>
                <w:rFonts w:cstheme="minorHAnsi"/>
                <w:sz w:val="18"/>
                <w:szCs w:val="18"/>
              </w:rPr>
              <w:t>Akzeptanzorientierte Drogenarbeit im Wandel des Konsumverhaltens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557DD">
              <w:rPr>
                <w:rFonts w:cstheme="minorHAnsi"/>
                <w:sz w:val="18"/>
                <w:szCs w:val="18"/>
              </w:rPr>
              <w:t xml:space="preserve">Eine Analyse am Beispiel des </w:t>
            </w:r>
          </w:p>
          <w:p w:rsidR="00F557DD" w:rsidRDefault="00F557DD" w:rsidP="00F557DD">
            <w:pPr>
              <w:rPr>
                <w:rFonts w:cstheme="minorHAnsi"/>
                <w:sz w:val="18"/>
                <w:szCs w:val="18"/>
              </w:rPr>
            </w:pPr>
            <w:r w:rsidRPr="00F557DD">
              <w:rPr>
                <w:rFonts w:cstheme="minorHAnsi"/>
                <w:sz w:val="18"/>
                <w:szCs w:val="18"/>
              </w:rPr>
              <w:t xml:space="preserve">Konsumraumes „Abrigado“ in Luxemburg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F557DD">
              <w:rPr>
                <w:rFonts w:cstheme="minorHAnsi"/>
                <w:sz w:val="18"/>
                <w:szCs w:val="18"/>
              </w:rPr>
              <w:t xml:space="preserve">Raoul </w:t>
            </w:r>
            <w:r>
              <w:rPr>
                <w:rFonts w:cstheme="minorHAnsi"/>
                <w:sz w:val="18"/>
                <w:szCs w:val="18"/>
              </w:rPr>
              <w:t>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DD" w:rsidRDefault="00F557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EA013A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3A" w:rsidRDefault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Séminaire dans le cadre des travaux de la Commission administrative de la sécurité sociale des travailleurs migrants 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17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5E0DBB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BB" w:rsidRDefault="005E0D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</w:tbl>
    <w:p w:rsidR="005E0DBB" w:rsidRDefault="005E0DBB" w:rsidP="005E0DBB">
      <w:pPr>
        <w:rPr>
          <w:rFonts w:cstheme="minorHAnsi"/>
          <w:sz w:val="18"/>
          <w:szCs w:val="18"/>
        </w:rPr>
      </w:pPr>
    </w:p>
    <w:p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E"/>
    <w:rsid w:val="000013AE"/>
    <w:rsid w:val="00014A2D"/>
    <w:rsid w:val="000E733D"/>
    <w:rsid w:val="00113572"/>
    <w:rsid w:val="00124A3D"/>
    <w:rsid w:val="00145BD0"/>
    <w:rsid w:val="001B7FA7"/>
    <w:rsid w:val="00247293"/>
    <w:rsid w:val="0027286A"/>
    <w:rsid w:val="0029137C"/>
    <w:rsid w:val="002D7C10"/>
    <w:rsid w:val="002F2FB9"/>
    <w:rsid w:val="0030643A"/>
    <w:rsid w:val="0034700B"/>
    <w:rsid w:val="003E5461"/>
    <w:rsid w:val="00485251"/>
    <w:rsid w:val="00497986"/>
    <w:rsid w:val="004E6C85"/>
    <w:rsid w:val="00527996"/>
    <w:rsid w:val="005E0DBB"/>
    <w:rsid w:val="006D53D7"/>
    <w:rsid w:val="007201CC"/>
    <w:rsid w:val="00751A3B"/>
    <w:rsid w:val="00814B87"/>
    <w:rsid w:val="008400BC"/>
    <w:rsid w:val="008F6465"/>
    <w:rsid w:val="009065A8"/>
    <w:rsid w:val="0093743C"/>
    <w:rsid w:val="00A06A9D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EA013A"/>
    <w:rsid w:val="00F4000C"/>
    <w:rsid w:val="00F557DD"/>
    <w:rsid w:val="00F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2D0E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842F-5274-4938-917A-A28F67E0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4</cp:revision>
  <dcterms:created xsi:type="dcterms:W3CDTF">2022-04-06T14:32:00Z</dcterms:created>
  <dcterms:modified xsi:type="dcterms:W3CDTF">2022-04-06T14:35:00Z</dcterms:modified>
</cp:coreProperties>
</file>