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686"/>
        <w:gridCol w:w="1292"/>
        <w:gridCol w:w="1299"/>
        <w:gridCol w:w="416"/>
        <w:gridCol w:w="416"/>
        <w:gridCol w:w="2476"/>
        <w:gridCol w:w="1156"/>
        <w:gridCol w:w="1156"/>
      </w:tblGrid>
      <w:tr w:rsidR="00FD6CD1" w:rsidRPr="00FD6CD1" w:rsidTr="00FD6CD1">
        <w:trPr>
          <w:trHeight w:val="1005"/>
        </w:trPr>
        <w:tc>
          <w:tcPr>
            <w:tcW w:w="54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noProof/>
                <w:color w:val="000000"/>
                <w:lang w:val="fr-LU" w:eastAsia="fr-L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57150</wp:posOffset>
                  </wp:positionV>
                  <wp:extent cx="3076575" cy="676275"/>
                  <wp:effectExtent l="0" t="0" r="0" b="9525"/>
                  <wp:wrapNone/>
                  <wp:docPr id="3" name="Picture 3" descr="Aloss-Logo(4C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loss-Logo(4C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0982" cy="681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0"/>
            </w:tblGrid>
            <w:tr w:rsidR="00FD6CD1" w:rsidRPr="00FD6CD1">
              <w:trPr>
                <w:trHeight w:val="1005"/>
                <w:tblCellSpacing w:w="0" w:type="dxa"/>
              </w:trPr>
              <w:tc>
                <w:tcPr>
                  <w:tcW w:w="5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6CD1" w:rsidRPr="00FD6CD1" w:rsidRDefault="00FD6CD1" w:rsidP="00FD6CD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fr-LU" w:eastAsia="fr-LU"/>
                    </w:rPr>
                  </w:pPr>
                  <w:bookmarkStart w:id="0" w:name="RANGE!A1:J17"/>
                  <w:bookmarkEnd w:id="0"/>
                </w:p>
              </w:tc>
            </w:tr>
          </w:tbl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LU" w:eastAsia="fr-L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</w:tr>
      <w:tr w:rsidR="00FD6CD1" w:rsidRPr="00FD6CD1" w:rsidTr="00FD6CD1">
        <w:trPr>
          <w:trHeight w:val="315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</w:tr>
      <w:tr w:rsidR="00FD6CD1" w:rsidRPr="00FD6CD1" w:rsidTr="00FD6CD1">
        <w:trPr>
          <w:trHeight w:val="540"/>
        </w:trPr>
        <w:tc>
          <w:tcPr>
            <w:tcW w:w="110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b/>
                <w:bCs/>
                <w:sz w:val="40"/>
                <w:szCs w:val="40"/>
                <w:lang w:val="fr-LU" w:eastAsia="fr-LU"/>
              </w:rPr>
              <w:t>Bilan au 31.12.2020</w:t>
            </w:r>
          </w:p>
        </w:tc>
      </w:tr>
      <w:tr w:rsidR="00FD6CD1" w:rsidRPr="00FD6CD1" w:rsidTr="00FD6CD1">
        <w:trPr>
          <w:trHeight w:val="300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val="fr-LU" w:eastAsia="fr-LU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</w:tr>
      <w:tr w:rsidR="00FD6CD1" w:rsidRPr="00FD6CD1" w:rsidTr="00FD6CD1">
        <w:trPr>
          <w:trHeight w:val="315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</w:tr>
      <w:tr w:rsidR="00FD6CD1" w:rsidRPr="00FD6CD1" w:rsidTr="00FD6CD1">
        <w:trPr>
          <w:trHeight w:val="315"/>
        </w:trPr>
        <w:tc>
          <w:tcPr>
            <w:tcW w:w="54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Actif</w:t>
            </w:r>
          </w:p>
        </w:tc>
        <w:tc>
          <w:tcPr>
            <w:tcW w:w="56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Passif</w:t>
            </w:r>
          </w:p>
        </w:tc>
      </w:tr>
      <w:tr w:rsidR="00FD6CD1" w:rsidRPr="00FD6CD1" w:rsidTr="00FD6CD1">
        <w:trPr>
          <w:trHeight w:val="300"/>
        </w:trPr>
        <w:tc>
          <w:tcPr>
            <w:tcW w:w="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 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 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31.12.2020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31.12.2019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31.12.2020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31.12.2019</w:t>
            </w:r>
          </w:p>
        </w:tc>
      </w:tr>
      <w:tr w:rsidR="00FD6CD1" w:rsidRPr="00FD6CD1" w:rsidTr="00FD6CD1">
        <w:trPr>
          <w:trHeight w:val="300"/>
        </w:trPr>
        <w:tc>
          <w:tcPr>
            <w:tcW w:w="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EUR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EUR</w:t>
            </w:r>
          </w:p>
        </w:tc>
      </w:tr>
      <w:tr w:rsidR="00FD6CD1" w:rsidRPr="00FD6CD1" w:rsidTr="00FD6CD1">
        <w:trPr>
          <w:trHeight w:val="300"/>
        </w:trPr>
        <w:tc>
          <w:tcPr>
            <w:tcW w:w="282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A. Actif circulant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330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A. Capitaux propres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</w:tr>
      <w:tr w:rsidR="00FD6CD1" w:rsidRPr="00FD6CD1" w:rsidTr="00FD6CD1">
        <w:trPr>
          <w:trHeight w:val="300"/>
        </w:trPr>
        <w:tc>
          <w:tcPr>
            <w:tcW w:w="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I. Créances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0,00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I. Résultats reportés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152.332,27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182.363,99</w:t>
            </w:r>
          </w:p>
        </w:tc>
      </w:tr>
      <w:tr w:rsidR="00FD6CD1" w:rsidRPr="00FD6CD1" w:rsidTr="00FD6CD1">
        <w:trPr>
          <w:trHeight w:val="300"/>
        </w:trPr>
        <w:tc>
          <w:tcPr>
            <w:tcW w:w="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i/>
                <w:iCs/>
                <w:lang w:val="fr-LU" w:eastAsia="fr-LU"/>
              </w:rPr>
              <w:t>Cotisations non perçues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i/>
                <w:iCs/>
                <w:lang w:val="fr-LU" w:eastAsia="fr-L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i/>
                <w:iCs/>
                <w:lang w:val="fr-LU" w:eastAsia="fr-LU"/>
              </w:rPr>
              <w:t>0,00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III. Résultats de l'exercice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16.790,92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-30.031,72</w:t>
            </w:r>
          </w:p>
        </w:tc>
      </w:tr>
      <w:tr w:rsidR="00FD6CD1" w:rsidRPr="00FD6CD1" w:rsidTr="00FD6CD1">
        <w:trPr>
          <w:trHeight w:val="300"/>
        </w:trPr>
        <w:tc>
          <w:tcPr>
            <w:tcW w:w="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</w:tr>
      <w:tr w:rsidR="00FD6CD1" w:rsidRPr="00FD6CD1" w:rsidTr="00FD6CD1">
        <w:trPr>
          <w:trHeight w:val="300"/>
        </w:trPr>
        <w:tc>
          <w:tcPr>
            <w:tcW w:w="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II. Avoirs en banque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169.123,19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152.332,27</w:t>
            </w:r>
          </w:p>
        </w:tc>
        <w:tc>
          <w:tcPr>
            <w:tcW w:w="330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B. Dettes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0,00</w:t>
            </w:r>
          </w:p>
        </w:tc>
      </w:tr>
      <w:tr w:rsidR="00FD6CD1" w:rsidRPr="00FD6CD1" w:rsidTr="00FD6CD1">
        <w:trPr>
          <w:trHeight w:val="300"/>
        </w:trPr>
        <w:tc>
          <w:tcPr>
            <w:tcW w:w="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i/>
                <w:iCs/>
                <w:lang w:val="fr-LU" w:eastAsia="fr-LU"/>
              </w:rPr>
              <w:t>CCP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i/>
                <w:iCs/>
                <w:lang w:val="fr-LU" w:eastAsia="fr-LU"/>
              </w:rPr>
              <w:t>169.123,19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i/>
                <w:iCs/>
                <w:lang w:val="fr-LU" w:eastAsia="fr-LU"/>
              </w:rPr>
              <w:t>152.332,27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i/>
                <w:iCs/>
                <w:lang w:val="fr-LU" w:eastAsia="fr-LU"/>
              </w:rPr>
              <w:t>Frais de route et de séjour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i/>
                <w:iCs/>
                <w:lang w:val="fr-LU" w:eastAsia="fr-L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i/>
                <w:iCs/>
                <w:lang w:val="fr-LU" w:eastAsia="fr-LU"/>
              </w:rPr>
              <w:t>0,00</w:t>
            </w:r>
          </w:p>
        </w:tc>
      </w:tr>
      <w:tr w:rsidR="00FD6CD1" w:rsidRPr="00FD6CD1" w:rsidTr="00FD6CD1">
        <w:trPr>
          <w:trHeight w:val="315"/>
        </w:trPr>
        <w:tc>
          <w:tcPr>
            <w:tcW w:w="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</w:tr>
      <w:tr w:rsidR="00FD6CD1" w:rsidRPr="00FD6CD1" w:rsidTr="00FD6CD1">
        <w:trPr>
          <w:trHeight w:val="315"/>
        </w:trPr>
        <w:tc>
          <w:tcPr>
            <w:tcW w:w="2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Total de l'actif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169.123,19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152.332,27</w:t>
            </w:r>
          </w:p>
        </w:tc>
        <w:tc>
          <w:tcPr>
            <w:tcW w:w="3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Total du passif</w:t>
            </w:r>
          </w:p>
        </w:tc>
        <w:tc>
          <w:tcPr>
            <w:tcW w:w="11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169.123,19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FD6CD1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152.332,27</w:t>
            </w:r>
          </w:p>
        </w:tc>
      </w:tr>
      <w:tr w:rsidR="00FD6CD1" w:rsidRPr="00FD6CD1" w:rsidTr="00FD6CD1">
        <w:trPr>
          <w:trHeight w:val="300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CD1" w:rsidRPr="00FD6CD1" w:rsidRDefault="00FD6CD1" w:rsidP="00F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</w:tr>
    </w:tbl>
    <w:p w:rsidR="008400BC" w:rsidRDefault="008400BC">
      <w:bookmarkStart w:id="1" w:name="_GoBack"/>
      <w:bookmarkEnd w:id="1"/>
    </w:p>
    <w:sectPr w:rsidR="008400BC" w:rsidSect="00FD6C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D1"/>
    <w:rsid w:val="008400BC"/>
    <w:rsid w:val="00FD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962C513-E67E-4FA0-928E-A4B83A04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0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2D1F2-9FCE-4150-890E-B6CB2223D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Commun de la Sécurité Sociale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u076nl / Lindenlaub Norbert</dc:creator>
  <cp:keywords/>
  <dc:description/>
  <cp:lastModifiedBy>u076nl / Lindenlaub Norbert</cp:lastModifiedBy>
  <cp:revision>1</cp:revision>
  <dcterms:created xsi:type="dcterms:W3CDTF">2021-03-23T13:22:00Z</dcterms:created>
  <dcterms:modified xsi:type="dcterms:W3CDTF">2021-03-23T13:22:00Z</dcterms:modified>
</cp:coreProperties>
</file>